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181F4484" w:rsidR="00D309CC" w:rsidRDefault="00D309CC" w:rsidP="00D46431">
      <w:pPr>
        <w:pStyle w:val="CH"/>
      </w:pPr>
      <w:bookmarkStart w:id="0" w:name="historyclause"/>
      <w:r w:rsidRPr="005E12B4">
        <w:t>3GPP RAN</w:t>
      </w:r>
      <w:r w:rsidR="00CF20E3" w:rsidRPr="005E12B4">
        <w:t xml:space="preserve"> TSG</w:t>
      </w:r>
      <w:r w:rsidRPr="005E12B4">
        <w:t xml:space="preserve"> Meeting #</w:t>
      </w:r>
      <w:r w:rsidR="00427482">
        <w:t>90</w:t>
      </w:r>
      <w:r w:rsidR="00C06639" w:rsidRPr="005E12B4">
        <w:t>e</w:t>
      </w:r>
      <w:r>
        <w:tab/>
      </w:r>
      <w:r w:rsidR="00D46431">
        <w:tab/>
      </w:r>
      <w:r w:rsidR="00A82C37" w:rsidRPr="00A82C37">
        <w:t>RP-202579</w:t>
      </w:r>
    </w:p>
    <w:p w14:paraId="50DC9730" w14:textId="158A4969" w:rsidR="00D309CC" w:rsidRPr="00FD166F" w:rsidRDefault="005E12B4" w:rsidP="00D46431">
      <w:pPr>
        <w:pStyle w:val="CH"/>
        <w:tabs>
          <w:tab w:val="clear" w:pos="7920"/>
        </w:tabs>
        <w:rPr>
          <w:b w:val="0"/>
        </w:rPr>
      </w:pPr>
      <w:r w:rsidRPr="005E12B4">
        <w:t xml:space="preserve">Electronic meeting, </w:t>
      </w:r>
      <w:r w:rsidR="00427482">
        <w:t>December</w:t>
      </w:r>
      <w:r w:rsidR="00982028" w:rsidRPr="00982028">
        <w:t xml:space="preserve"> </w:t>
      </w:r>
      <w:r w:rsidR="00427482">
        <w:t>7</w:t>
      </w:r>
      <w:r w:rsidR="00982028" w:rsidRPr="00982028">
        <w:t xml:space="preserve"> – 1</w:t>
      </w:r>
      <w:r w:rsidR="00427482">
        <w:t>1</w:t>
      </w:r>
      <w:r w:rsidR="00982028" w:rsidRPr="00982028">
        <w:t>th, 2020</w:t>
      </w:r>
      <w:r w:rsidR="00D46431">
        <w:tab/>
      </w:r>
    </w:p>
    <w:p w14:paraId="39A0EE25" w14:textId="77777777" w:rsidR="00D309CC" w:rsidRDefault="00D309CC" w:rsidP="00D309CC">
      <w:pPr>
        <w:tabs>
          <w:tab w:val="left" w:pos="2160"/>
        </w:tabs>
        <w:rPr>
          <w:rFonts w:ascii="Arial" w:hAnsi="Arial" w:cs="Arial"/>
          <w:b/>
        </w:rPr>
      </w:pPr>
    </w:p>
    <w:p w14:paraId="6DDCE159" w14:textId="556FE1DB" w:rsidR="00D309CC" w:rsidRPr="0008103A" w:rsidRDefault="00D309CC" w:rsidP="00D309CC">
      <w:pPr>
        <w:pStyle w:val="CH"/>
        <w:rPr>
          <w:b w:val="0"/>
        </w:rPr>
      </w:pPr>
      <w:r w:rsidRPr="0008103A">
        <w:t>Agenda item:</w:t>
      </w:r>
      <w:r>
        <w:tab/>
      </w:r>
      <w:r w:rsidR="00914478" w:rsidRPr="00914478">
        <w:t>9.2.</w:t>
      </w:r>
      <w:r w:rsidR="001365B6">
        <w:t>1</w:t>
      </w:r>
    </w:p>
    <w:p w14:paraId="4DBE005A" w14:textId="3472567B" w:rsidR="00D309CC" w:rsidRPr="0008103A" w:rsidRDefault="00D309CC" w:rsidP="00D309CC">
      <w:pPr>
        <w:pStyle w:val="CH"/>
        <w:rPr>
          <w:b w:val="0"/>
        </w:rPr>
      </w:pPr>
      <w:r>
        <w:t>Source:</w:t>
      </w:r>
      <w:r>
        <w:tab/>
      </w:r>
      <w:r w:rsidR="002F1337" w:rsidRPr="002F1337">
        <w:t>Apple Inc</w:t>
      </w:r>
      <w:r w:rsidR="00914478">
        <w:t>.</w:t>
      </w:r>
    </w:p>
    <w:p w14:paraId="0D2061A1" w14:textId="7FFA08F2" w:rsidR="00D309CC" w:rsidRDefault="00D309CC" w:rsidP="002F1337">
      <w:pPr>
        <w:pStyle w:val="CH"/>
        <w:ind w:left="2260" w:hanging="2260"/>
      </w:pPr>
      <w:r w:rsidRPr="0008103A">
        <w:t>Title:</w:t>
      </w:r>
      <w:r w:rsidRPr="0008103A">
        <w:tab/>
      </w:r>
      <w:r w:rsidR="001365B6" w:rsidRPr="001365B6">
        <w:t>Views on further enhancements for NR-U</w:t>
      </w:r>
    </w:p>
    <w:p w14:paraId="052B1E0C" w14:textId="1B8251EC" w:rsidR="00104BC6" w:rsidRDefault="00104BC6" w:rsidP="00D309CC">
      <w:pPr>
        <w:pStyle w:val="CH"/>
      </w:pPr>
      <w:r>
        <w:t>WI:</w:t>
      </w:r>
      <w:r>
        <w:tab/>
      </w:r>
      <w:proofErr w:type="spellStart"/>
      <w:r w:rsidR="00914478" w:rsidRPr="00914478">
        <w:t>NR_unlic</w:t>
      </w:r>
      <w:proofErr w:type="spellEnd"/>
    </w:p>
    <w:p w14:paraId="6C6D1281" w14:textId="0A6D6F79" w:rsidR="00104BC6" w:rsidRDefault="00104BC6" w:rsidP="00D309CC">
      <w:pPr>
        <w:pStyle w:val="CH"/>
        <w:rPr>
          <w:b w:val="0"/>
        </w:rPr>
      </w:pPr>
      <w:r>
        <w:t>Release:</w:t>
      </w:r>
      <w:r>
        <w:tab/>
      </w:r>
      <w:r w:rsidRPr="005E12B4">
        <w:t>Rel-</w:t>
      </w:r>
      <w:r w:rsidR="005E12B4" w:rsidRPr="005E12B4">
        <w:t>16</w:t>
      </w:r>
    </w:p>
    <w:p w14:paraId="2E4E044D" w14:textId="7A4C8F2D" w:rsidR="00D309CC" w:rsidRDefault="00D309CC" w:rsidP="00D309CC">
      <w:pPr>
        <w:pStyle w:val="CH"/>
      </w:pPr>
      <w:r>
        <w:t>Document for:</w:t>
      </w:r>
      <w:r>
        <w:tab/>
      </w:r>
      <w:r w:rsidR="002F1337">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3E6FA54" w14:textId="2E1C02EC" w:rsidR="001365B6" w:rsidRDefault="00825772" w:rsidP="008E7986">
      <w:r>
        <w:t>NR-U is a Rel-16 WI that aims at enabling NR operation in the unlicensed spectrum, such as 5GHz and 6GHz bands</w:t>
      </w:r>
      <w:r w:rsidR="001569CF">
        <w:t xml:space="preserve">. </w:t>
      </w:r>
      <w:r w:rsidR="001365B6">
        <w:t>According to the RAN#89 NR-U status report</w:t>
      </w:r>
      <w:r w:rsidR="00BA0D78">
        <w:t xml:space="preserve"> </w:t>
      </w:r>
      <w:r w:rsidR="00BA0D78">
        <w:fldChar w:fldCharType="begin"/>
      </w:r>
      <w:r w:rsidR="00BA0D78">
        <w:instrText xml:space="preserve"> REF _Ref57277571 \r \h </w:instrText>
      </w:r>
      <w:r w:rsidR="00BA0D78">
        <w:fldChar w:fldCharType="separate"/>
      </w:r>
      <w:r w:rsidR="00BA0D78">
        <w:t>[1]</w:t>
      </w:r>
      <w:r w:rsidR="00BA0D78">
        <w:fldChar w:fldCharType="end"/>
      </w:r>
      <w:r w:rsidR="001365B6">
        <w:t>, target</w:t>
      </w:r>
      <w:r>
        <w:t xml:space="preserve"> completion date of this WI </w:t>
      </w:r>
      <w:r w:rsidR="001365B6">
        <w:t>was</w:t>
      </w:r>
      <w:r>
        <w:t xml:space="preserve"> </w:t>
      </w:r>
      <w:r w:rsidR="001365B6">
        <w:t>changed to December</w:t>
      </w:r>
      <w:r>
        <w:t xml:space="preserve"> 2020</w:t>
      </w:r>
      <w:r w:rsidR="001365B6">
        <w:t xml:space="preserve"> because</w:t>
      </w:r>
      <w:r>
        <w:t xml:space="preserve"> </w:t>
      </w:r>
      <w:r w:rsidR="001365B6">
        <w:t xml:space="preserve">that time </w:t>
      </w:r>
      <w:r>
        <w:t xml:space="preserve">RAN WG4 was not able to complete </w:t>
      </w:r>
      <w:r w:rsidR="000F41C3">
        <w:t>all the open</w:t>
      </w:r>
      <w:r>
        <w:t xml:space="preserve"> </w:t>
      </w:r>
      <w:r w:rsidR="000F41C3">
        <w:t>issues</w:t>
      </w:r>
      <w:r w:rsidR="001365B6">
        <w:t xml:space="preserve">. After the RAN4#97 meeting, all the </w:t>
      </w:r>
      <w:r w:rsidR="000F41C3">
        <w:t>essential</w:t>
      </w:r>
      <w:r w:rsidR="001365B6">
        <w:t xml:space="preserve"> open issues were finally resolved suggesting 100% completion level of this</w:t>
      </w:r>
      <w:r>
        <w:t xml:space="preserve"> </w:t>
      </w:r>
      <w:r w:rsidR="000430EF">
        <w:t>work</w:t>
      </w:r>
      <w:r w:rsidR="00BA0D78">
        <w:t xml:space="preserve"> </w:t>
      </w:r>
      <w:r w:rsidR="00BA0D78">
        <w:fldChar w:fldCharType="begin"/>
      </w:r>
      <w:r w:rsidR="00BA0D78">
        <w:instrText xml:space="preserve"> REF _Ref57277582 \r \h </w:instrText>
      </w:r>
      <w:r w:rsidR="00BA0D78">
        <w:fldChar w:fldCharType="separate"/>
      </w:r>
      <w:r w:rsidR="00BA0D78">
        <w:t>[2]</w:t>
      </w:r>
      <w:r w:rsidR="00BA0D78">
        <w:fldChar w:fldCharType="end"/>
      </w:r>
      <w:r w:rsidR="001365B6">
        <w:t>.</w:t>
      </w:r>
      <w:r w:rsidR="000430EF">
        <w:t xml:space="preserve"> </w:t>
      </w:r>
    </w:p>
    <w:p w14:paraId="52781B74" w14:textId="0FED1CDF" w:rsidR="001944CA" w:rsidRDefault="001365B6" w:rsidP="008E7986">
      <w:r>
        <w:t xml:space="preserve">It bears mentioning that during Rel-16 NR-U specification work companies contemplated several enhancements, such as PC3 power class and the 100MHz channel bandwidth, which however were descoped from the Rel-16 discussions due to </w:t>
      </w:r>
      <w:r w:rsidR="00BA0D78">
        <w:t xml:space="preserve">the </w:t>
      </w:r>
      <w:r>
        <w:t>overall workload</w:t>
      </w:r>
      <w:r w:rsidR="000430EF">
        <w:t>.</w:t>
      </w:r>
      <w:r>
        <w:t xml:space="preserve"> These leftover topics were discussed again during the RAN4#97 meeting and the corresponding WF document was drafted </w:t>
      </w:r>
      <w:r w:rsidR="00BA0D78">
        <w:fldChar w:fldCharType="begin"/>
      </w:r>
      <w:r w:rsidR="00BA0D78">
        <w:instrText xml:space="preserve"> REF _Ref57277701 \r \h </w:instrText>
      </w:r>
      <w:r w:rsidR="00BA0D78">
        <w:fldChar w:fldCharType="separate"/>
      </w:r>
      <w:r w:rsidR="00BA0D78">
        <w:t>[3]</w:t>
      </w:r>
      <w:r w:rsidR="00BA0D78">
        <w:fldChar w:fldCharType="end"/>
      </w:r>
      <w:r w:rsidR="00BA0D78">
        <w:t xml:space="preserve"> suggesting how it would be possible</w:t>
      </w:r>
      <w:r w:rsidR="000F41C3">
        <w:t xml:space="preserve"> to handle them in next releases. In this discussion paper we </w:t>
      </w:r>
      <w:r w:rsidR="004925D2">
        <w:t xml:space="preserve">delve </w:t>
      </w:r>
      <w:r w:rsidR="000F41C3">
        <w:t xml:space="preserve">into the technical details of the aforementioned topics presenting how and when they can be handled by 3GPP.  </w:t>
      </w:r>
    </w:p>
    <w:p w14:paraId="7228DA19" w14:textId="4B600DFF" w:rsidR="00E72324" w:rsidRDefault="008E7986" w:rsidP="00C43103">
      <w:pPr>
        <w:pStyle w:val="Heading1"/>
      </w:pPr>
      <w:r>
        <w:t>2</w:t>
      </w:r>
      <w:r>
        <w:tab/>
      </w:r>
      <w:r w:rsidR="00217FF2">
        <w:t>Further enhancements for NR-U</w:t>
      </w:r>
      <w:r>
        <w:t xml:space="preserve"> </w:t>
      </w:r>
      <w:r w:rsidR="00E72324" w:rsidRPr="00E72324">
        <w:t xml:space="preserve"> </w:t>
      </w:r>
    </w:p>
    <w:p w14:paraId="406EBD72" w14:textId="131EAD14" w:rsidR="001F64E7" w:rsidRDefault="00217FF2" w:rsidP="00B12BC9">
      <w:r>
        <w:t>As already mentioned in the Introduction part, one of the potential enhancements for NR-U is PC3 power class</w:t>
      </w:r>
      <w:r w:rsidR="002132FE">
        <w:t>.</w:t>
      </w:r>
      <w:r>
        <w:t xml:space="preserve"> As has been extensively discussed in RAN WG4, there are two potential </w:t>
      </w:r>
      <w:r w:rsidR="004925D2">
        <w:t xml:space="preserve">UE RF architectures </w:t>
      </w:r>
      <w:r>
        <w:t xml:space="preserve">on how it can be </w:t>
      </w:r>
      <w:r w:rsidR="004925D2">
        <w:t>realized</w:t>
      </w:r>
      <w:r>
        <w:t xml:space="preserve">: either as one 23dBm PA or as two 20dBm PAs. Potential pros and cons for both approaches were contemplated by RAN WG4, but the common conclusion was that it is not likely that a particular implementation choice can be completely transparent to the 3GPP specifications. In fact, the same </w:t>
      </w:r>
      <w:r w:rsidR="00B12BC9">
        <w:t xml:space="preserve">issue is discussed now by 3GPP for NR under the </w:t>
      </w:r>
      <w:proofErr w:type="spellStart"/>
      <w:r w:rsidR="00B12BC9">
        <w:t>TxD</w:t>
      </w:r>
      <w:proofErr w:type="spellEnd"/>
      <w:r w:rsidR="00B12BC9">
        <w:t xml:space="preserve"> technical topic</w:t>
      </w:r>
      <w:r w:rsidR="00D0697A">
        <w:t xml:space="preserve"> </w:t>
      </w:r>
      <w:r w:rsidR="00D0697A">
        <w:fldChar w:fldCharType="begin"/>
      </w:r>
      <w:r w:rsidR="00D0697A">
        <w:instrText xml:space="preserve"> REF _Ref57279091 \r \h </w:instrText>
      </w:r>
      <w:r w:rsidR="00D0697A">
        <w:fldChar w:fldCharType="separate"/>
      </w:r>
      <w:r w:rsidR="00D0697A">
        <w:t>[4]</w:t>
      </w:r>
      <w:r w:rsidR="00D0697A">
        <w:fldChar w:fldCharType="end"/>
      </w:r>
      <w:r w:rsidR="00D0697A">
        <w:t>, in which multiple options exist regarding whether a UE should indicate whether it uses one or two PAs and if so, how to do it exactly</w:t>
      </w:r>
      <w:r w:rsidR="00B12BC9">
        <w:t>.</w:t>
      </w:r>
      <w:r w:rsidR="00C24AD0">
        <w:t xml:space="preserve"> Furthermore, important topics </w:t>
      </w:r>
      <w:r w:rsidR="00B7168C">
        <w:t xml:space="preserve">such </w:t>
      </w:r>
      <w:r w:rsidR="00C24AD0">
        <w:t>as testing, EVM measurement</w:t>
      </w:r>
      <w:r w:rsidR="00B57987">
        <w:t>s</w:t>
      </w:r>
      <w:r w:rsidR="00C24AD0">
        <w:t xml:space="preserve"> and CDD requirements are still under discussion.</w:t>
      </w:r>
      <w:r w:rsidR="00B12BC9">
        <w:t xml:space="preserve"> Based on that, </w:t>
      </w:r>
      <w:r w:rsidR="004219DD">
        <w:t>it is preferrable</w:t>
      </w:r>
      <w:r w:rsidR="00B12BC9">
        <w:t xml:space="preserve"> to wait for the outcome of the NR </w:t>
      </w:r>
      <w:proofErr w:type="spellStart"/>
      <w:r w:rsidR="00B12BC9">
        <w:t>TxD</w:t>
      </w:r>
      <w:proofErr w:type="spellEnd"/>
      <w:r w:rsidR="00B12BC9">
        <w:t xml:space="preserve"> technical discussion before proceeding with NR-U PC3.</w:t>
      </w:r>
      <w:r>
        <w:t xml:space="preserve"> </w:t>
      </w:r>
    </w:p>
    <w:p w14:paraId="128100D0" w14:textId="77777777" w:rsidR="00A20FAE" w:rsidRDefault="004E615D" w:rsidP="004E615D">
      <w:pPr>
        <w:pStyle w:val="Proposal"/>
      </w:pPr>
      <w:bookmarkStart w:id="1" w:name="_Toc43733635"/>
      <w:bookmarkStart w:id="2" w:name="_Toc43742213"/>
      <w:bookmarkStart w:id="3" w:name="_Toc50389003"/>
      <w:bookmarkStart w:id="4" w:name="_Toc50389729"/>
      <w:bookmarkStart w:id="5" w:name="_Toc50402777"/>
      <w:bookmarkStart w:id="6" w:name="_Toc50403191"/>
      <w:bookmarkStart w:id="7" w:name="_Toc50403482"/>
      <w:bookmarkStart w:id="8" w:name="_Toc50711878"/>
      <w:bookmarkStart w:id="9" w:name="_Toc50712369"/>
      <w:bookmarkStart w:id="10" w:name="_Toc57277961"/>
      <w:bookmarkStart w:id="11" w:name="_Toc57290646"/>
      <w:bookmarkStart w:id="12" w:name="_Toc57291589"/>
      <w:r>
        <w:t>Proposal</w:t>
      </w:r>
      <w:r w:rsidR="000430EF">
        <w:t xml:space="preserve"> 1</w:t>
      </w:r>
      <w:r w:rsidR="00A20FAE">
        <w:t>a</w:t>
      </w:r>
      <w:r>
        <w:t>:</w:t>
      </w:r>
      <w:r>
        <w:tab/>
      </w:r>
      <w:r w:rsidR="00A20FAE">
        <w:t xml:space="preserve">NR-U PC3 should leverage outcome of the NR </w:t>
      </w:r>
      <w:proofErr w:type="spellStart"/>
      <w:r w:rsidR="00A20FAE">
        <w:t>TxD</w:t>
      </w:r>
      <w:proofErr w:type="spellEnd"/>
      <w:r w:rsidR="00A20FAE">
        <w:t xml:space="preserve"> technical discussion</w:t>
      </w:r>
      <w:r>
        <w:t>.</w:t>
      </w:r>
      <w:bookmarkEnd w:id="1"/>
      <w:bookmarkEnd w:id="2"/>
      <w:bookmarkEnd w:id="3"/>
      <w:bookmarkEnd w:id="4"/>
      <w:bookmarkEnd w:id="5"/>
      <w:bookmarkEnd w:id="6"/>
      <w:bookmarkEnd w:id="7"/>
      <w:bookmarkEnd w:id="8"/>
      <w:bookmarkEnd w:id="9"/>
      <w:bookmarkEnd w:id="10"/>
      <w:bookmarkEnd w:id="11"/>
      <w:bookmarkEnd w:id="12"/>
    </w:p>
    <w:p w14:paraId="13856ED7" w14:textId="01E95FAC" w:rsidR="004E615D" w:rsidRDefault="00A20FAE" w:rsidP="004E615D">
      <w:pPr>
        <w:pStyle w:val="Proposal"/>
      </w:pPr>
      <w:bookmarkStart w:id="13" w:name="_Toc57277962"/>
      <w:bookmarkStart w:id="14" w:name="_Toc57290647"/>
      <w:bookmarkStart w:id="15" w:name="_Toc57291590"/>
      <w:r>
        <w:t>Proposal 1b:</w:t>
      </w:r>
      <w:r>
        <w:tab/>
        <w:t xml:space="preserve">Timeline for NR-U PC3 should be (re-)discussed when the NR </w:t>
      </w:r>
      <w:proofErr w:type="spellStart"/>
      <w:r>
        <w:t>TxD</w:t>
      </w:r>
      <w:proofErr w:type="spellEnd"/>
      <w:r>
        <w:t xml:space="preserve"> discussion</w:t>
      </w:r>
      <w:r w:rsidR="00217FF2">
        <w:t xml:space="preserve"> is completed (whereupon it can be also discussed to which WI we add it).</w:t>
      </w:r>
      <w:bookmarkEnd w:id="13"/>
      <w:bookmarkEnd w:id="14"/>
      <w:bookmarkEnd w:id="15"/>
      <w:r w:rsidR="004E615D" w:rsidRPr="00E72324">
        <w:t xml:space="preserve"> </w:t>
      </w:r>
    </w:p>
    <w:p w14:paraId="6DBE75FD" w14:textId="3C3D704A" w:rsidR="001F64E7" w:rsidRDefault="001F64E7" w:rsidP="00130CEE">
      <w:pPr>
        <w:spacing w:after="0"/>
      </w:pPr>
    </w:p>
    <w:p w14:paraId="259F96A8" w14:textId="2C0B524A" w:rsidR="00F94D06" w:rsidRDefault="00BC3F29" w:rsidP="00F94D06">
      <w:r>
        <w:t xml:space="preserve">As for the 100MHz channel bandwidth, RAN4#97 WF document </w:t>
      </w:r>
      <w:r w:rsidR="000F09C6">
        <w:fldChar w:fldCharType="begin"/>
      </w:r>
      <w:r w:rsidR="000F09C6">
        <w:instrText xml:space="preserve"> REF _Ref57277701 \r \h </w:instrText>
      </w:r>
      <w:r w:rsidR="000F09C6">
        <w:fldChar w:fldCharType="separate"/>
      </w:r>
      <w:r w:rsidR="000F09C6">
        <w:t>[3]</w:t>
      </w:r>
      <w:r w:rsidR="000F09C6">
        <w:fldChar w:fldCharType="end"/>
      </w:r>
      <w:r w:rsidR="000F09C6">
        <w:t xml:space="preserve"> </w:t>
      </w:r>
      <w:r>
        <w:t xml:space="preserve">suggests adding this channel into one of the existing basket WIs (e.g. the one in which existing channel bandwidths </w:t>
      </w:r>
      <w:r w:rsidR="00AE2FED">
        <w:t>are added to</w:t>
      </w:r>
      <w:r>
        <w:t xml:space="preserve"> existing bands). </w:t>
      </w:r>
      <w:r w:rsidR="000F09C6">
        <w:t xml:space="preserve">Even though it sounds like a feasible task – 3GPP </w:t>
      </w:r>
      <w:r w:rsidR="00F94D06">
        <w:t xml:space="preserve">core </w:t>
      </w:r>
      <w:r w:rsidR="000F09C6">
        <w:t xml:space="preserve">specifications for NR FR1 bands </w:t>
      </w:r>
      <w:r w:rsidR="00F94D06">
        <w:t>already</w:t>
      </w:r>
      <w:r w:rsidR="000F09C6">
        <w:t xml:space="preserve"> support 100MHz channel bandwidth – we would like to emphasise that there are a number of the license-exempt specific issues that go beyond what we usually discuss in the basket </w:t>
      </w:r>
      <w:proofErr w:type="spellStart"/>
      <w:r w:rsidR="000F09C6">
        <w:t>WIs.</w:t>
      </w:r>
      <w:proofErr w:type="spellEnd"/>
    </w:p>
    <w:p w14:paraId="06137DB8" w14:textId="1AE285AD" w:rsidR="00F94D06" w:rsidRDefault="00F94D06" w:rsidP="00F94D06">
      <w:pPr>
        <w:pStyle w:val="B1"/>
      </w:pPr>
      <w:r>
        <w:t>-</w:t>
      </w:r>
      <w:r>
        <w:tab/>
        <w:t>Co-existence with other technologies.</w:t>
      </w:r>
      <w:r w:rsidR="00406E16">
        <w:t xml:space="preserve"> Introduction of the 100MHz channel for NR-U </w:t>
      </w:r>
      <w:r w:rsidR="00565894">
        <w:t>and potential issues were</w:t>
      </w:r>
      <w:r w:rsidR="00406E16">
        <w:t xml:space="preserve"> already discussed by RAN WG4</w:t>
      </w:r>
      <w:r w:rsidR="00565894">
        <w:t xml:space="preserve"> (as an example refer to </w:t>
      </w:r>
      <w:r w:rsidR="00565894">
        <w:fldChar w:fldCharType="begin"/>
      </w:r>
      <w:r w:rsidR="00565894">
        <w:instrText xml:space="preserve"> REF _Ref57291221 \r \h </w:instrText>
      </w:r>
      <w:r w:rsidR="00565894">
        <w:fldChar w:fldCharType="separate"/>
      </w:r>
      <w:r w:rsidR="00565894">
        <w:t>[5]</w:t>
      </w:r>
      <w:r w:rsidR="00565894">
        <w:fldChar w:fldCharType="end"/>
      </w:r>
      <w:r w:rsidR="00565894">
        <w:t xml:space="preserve"> and </w:t>
      </w:r>
      <w:r w:rsidR="00565894">
        <w:fldChar w:fldCharType="begin"/>
      </w:r>
      <w:r w:rsidR="00565894">
        <w:instrText xml:space="preserve"> REF _Ref57291228 \r \h </w:instrText>
      </w:r>
      <w:r w:rsidR="00565894">
        <w:fldChar w:fldCharType="separate"/>
      </w:r>
      <w:r w:rsidR="00565894">
        <w:t>[6]</w:t>
      </w:r>
      <w:r w:rsidR="00565894">
        <w:fldChar w:fldCharType="end"/>
      </w:r>
      <w:r w:rsidR="00565894">
        <w:t>)</w:t>
      </w:r>
      <w:r w:rsidR="00406E16">
        <w:t xml:space="preserve">. One of the concerns expressed by some companies is whether 100MHz channel can ensure a fair co-existence with e.g. WIFI technologies. </w:t>
      </w:r>
      <w:r w:rsidR="00FD50AA">
        <w:t xml:space="preserve">As an example, one 100MHz channel transmission can effectively "block" one 160MHz or two 80MHz channels, which can be considered as unfair behaviour. So, to </w:t>
      </w:r>
      <w:r w:rsidR="00EF7DE2">
        <w:t>e</w:t>
      </w:r>
      <w:r w:rsidR="00FD50AA" w:rsidRPr="00FD50AA">
        <w:t>nsure fair co-existence with Wi-Fi</w:t>
      </w:r>
      <w:r w:rsidR="00FD50AA">
        <w:t>,</w:t>
      </w:r>
      <w:r w:rsidR="00FD50AA" w:rsidRPr="00FD50AA">
        <w:t xml:space="preserve"> multi-channel access operations for 100 MHz channel bandwidth </w:t>
      </w:r>
      <w:r w:rsidR="00FD50AA">
        <w:t>may need further considerations</w:t>
      </w:r>
      <w:r w:rsidR="00FD50AA" w:rsidRPr="00FD50AA">
        <w:t xml:space="preserve"> </w:t>
      </w:r>
      <w:r w:rsidR="00FD50AA">
        <w:t>potentially checking further regulatory requirements in different regions.</w:t>
      </w:r>
    </w:p>
    <w:p w14:paraId="53B4E940" w14:textId="5D437DE5" w:rsidR="00F94D06" w:rsidRDefault="00F94D06" w:rsidP="00F94D06">
      <w:pPr>
        <w:pStyle w:val="B1"/>
      </w:pPr>
      <w:r>
        <w:lastRenderedPageBreak/>
        <w:t>-</w:t>
      </w:r>
      <w:r>
        <w:tab/>
        <w:t>Spectral emission mask.</w:t>
      </w:r>
      <w:r w:rsidR="00270215">
        <w:t xml:space="preserve"> NR-U spectral emission mask was discussed heavily during Rel-16, especially so-called punctured transmission cases when one or more sub-bands do not pass LBT. RAN WG4 agreed different floor values depending on whether it is one or two sub-bands in the middle or sub-bands at the edge of the channel. For the 100MHz channel it is in principle possible to take existing 80MHz mask with existing floor values, but it should be checked whether for instance 1-0-0-0-1 case still can have the existing floor values for the middle sub-band or a more stringent value should be adopted. Similarly, RAN WG4 will need to check floor values for the case when LBT fails at the edge of the channel, e.g. 1-0-0-0-0.  </w:t>
      </w:r>
    </w:p>
    <w:p w14:paraId="26ACA16C" w14:textId="7F2EF42B" w:rsidR="004F209A" w:rsidRDefault="00F94D06" w:rsidP="00F94D06">
      <w:pPr>
        <w:pStyle w:val="B1"/>
      </w:pPr>
      <w:r>
        <w:t>-</w:t>
      </w:r>
      <w:r>
        <w:tab/>
        <w:t xml:space="preserve">Wide-band operation. </w:t>
      </w:r>
      <w:r w:rsidR="009F27D2">
        <w:t xml:space="preserve">It also took some time RAN WG4 to agree in-carrier guard band patterns for </w:t>
      </w:r>
      <w:proofErr w:type="gramStart"/>
      <w:r w:rsidR="009F27D2">
        <w:t>40..</w:t>
      </w:r>
      <w:proofErr w:type="gramEnd"/>
      <w:r w:rsidR="009F27D2">
        <w:t xml:space="preserve">80MHz channels for different SCS values. The same principles can be followed also for the 100MHz channel, </w:t>
      </w:r>
      <w:r w:rsidR="00406E16">
        <w:t xml:space="preserve">but it is not a straightforward work and will definitely need further technical discussions. </w:t>
      </w:r>
      <w:r w:rsidR="009F27D2">
        <w:t xml:space="preserve"> </w:t>
      </w:r>
      <w:r w:rsidR="000F09C6">
        <w:t xml:space="preserve">   </w:t>
      </w:r>
    </w:p>
    <w:p w14:paraId="6975FD00" w14:textId="40AB6E61" w:rsidR="006D065F" w:rsidRDefault="006D065F" w:rsidP="00130CEE">
      <w:pPr>
        <w:spacing w:after="0"/>
      </w:pPr>
    </w:p>
    <w:p w14:paraId="092062BB" w14:textId="77777777" w:rsidR="006D065F" w:rsidRDefault="006D065F" w:rsidP="00130CEE">
      <w:pPr>
        <w:spacing w:after="0"/>
      </w:pPr>
    </w:p>
    <w:p w14:paraId="1C09ABAA" w14:textId="2669A985" w:rsidR="002132FE" w:rsidRDefault="006D065F" w:rsidP="00123A81">
      <w:pPr>
        <w:pStyle w:val="Proposal"/>
      </w:pPr>
      <w:bookmarkStart w:id="16" w:name="_Toc50402778"/>
      <w:bookmarkStart w:id="17" w:name="_Toc50403192"/>
      <w:bookmarkStart w:id="18" w:name="_Toc50403483"/>
      <w:bookmarkStart w:id="19" w:name="_Toc50711879"/>
      <w:bookmarkStart w:id="20" w:name="_Toc50712370"/>
      <w:bookmarkStart w:id="21" w:name="_Toc57277963"/>
      <w:bookmarkStart w:id="22" w:name="_Toc57290648"/>
      <w:bookmarkStart w:id="23" w:name="_Toc57291591"/>
      <w:r>
        <w:t>Proposal 2</w:t>
      </w:r>
      <w:r w:rsidR="00406E16">
        <w:t>a</w:t>
      </w:r>
      <w:r>
        <w:t>:</w:t>
      </w:r>
      <w:r>
        <w:tab/>
      </w:r>
      <w:r w:rsidR="00406E16">
        <w:t xml:space="preserve">Due to the sheer number of NR-U specific issues it is preferrable to handle 100MHz channel as a dedicated work package not mixing it with existing basket </w:t>
      </w:r>
      <w:proofErr w:type="spellStart"/>
      <w:r w:rsidR="00406E16">
        <w:t>WIs</w:t>
      </w:r>
      <w:r w:rsidR="00123A81">
        <w:t>.</w:t>
      </w:r>
      <w:bookmarkEnd w:id="16"/>
      <w:bookmarkEnd w:id="17"/>
      <w:bookmarkEnd w:id="18"/>
      <w:bookmarkEnd w:id="19"/>
      <w:bookmarkEnd w:id="20"/>
      <w:bookmarkEnd w:id="21"/>
      <w:bookmarkEnd w:id="22"/>
      <w:bookmarkEnd w:id="23"/>
      <w:proofErr w:type="spellEnd"/>
    </w:p>
    <w:p w14:paraId="3E99127B" w14:textId="508E1010" w:rsidR="00406E16" w:rsidRDefault="00406E16" w:rsidP="00123A81">
      <w:pPr>
        <w:pStyle w:val="Proposal"/>
      </w:pPr>
      <w:bookmarkStart w:id="24" w:name="_Toc57290649"/>
      <w:bookmarkStart w:id="25" w:name="_Toc57291592"/>
      <w:r>
        <w:t>Proposal 2b:</w:t>
      </w:r>
      <w:r>
        <w:tab/>
        <w:t>TSG RAN should discuss further timeline for adding the 100MHz channel.</w:t>
      </w:r>
      <w:bookmarkEnd w:id="24"/>
      <w:bookmarkEnd w:id="25"/>
    </w:p>
    <w:p w14:paraId="3BCB66DB" w14:textId="77777777" w:rsidR="00304DED" w:rsidRDefault="00304DED" w:rsidP="00130CEE">
      <w:pPr>
        <w:spacing w:after="0"/>
      </w:pPr>
    </w:p>
    <w:p w14:paraId="603BB72A" w14:textId="77777777" w:rsidR="002132FE" w:rsidRDefault="002132FE" w:rsidP="00130CEE">
      <w:pPr>
        <w:spacing w:after="0"/>
      </w:pPr>
    </w:p>
    <w:p w14:paraId="34C99636" w14:textId="77777777" w:rsidR="008E7986" w:rsidRDefault="008E7986" w:rsidP="008E7986">
      <w:pPr>
        <w:pStyle w:val="Heading1"/>
      </w:pPr>
      <w:r>
        <w:t>3</w:t>
      </w:r>
      <w:r>
        <w:tab/>
        <w:t>Conclusions</w:t>
      </w:r>
    </w:p>
    <w:p w14:paraId="001A58A1" w14:textId="0A360240" w:rsidR="00E72324" w:rsidRDefault="000143AB" w:rsidP="00E72324">
      <w:r>
        <w:t xml:space="preserve">In this discussion paper we </w:t>
      </w:r>
      <w:r w:rsidR="00456BB2">
        <w:t xml:space="preserve">have </w:t>
      </w:r>
      <w:r>
        <w:t xml:space="preserve">provided </w:t>
      </w:r>
      <w:r w:rsidR="005C6A37">
        <w:t xml:space="preserve">our view on </w:t>
      </w:r>
      <w:r w:rsidR="00BE7A35">
        <w:t xml:space="preserve">further potential NR-U enhancements – PC3 power class and the </w:t>
      </w:r>
      <w:r w:rsidR="00D03677">
        <w:t>1</w:t>
      </w:r>
      <w:r w:rsidR="00BE7A35">
        <w:t>00MHz channel bandwidth –</w:t>
      </w:r>
      <w:r w:rsidR="00F175FB">
        <w:t xml:space="preserve"> </w:t>
      </w:r>
      <w:r w:rsidR="00BE7A35">
        <w:t>and how they can be handled</w:t>
      </w:r>
      <w:r w:rsidR="005C6A37">
        <w:t>.</w:t>
      </w:r>
      <w:r w:rsidR="00E72324" w:rsidRPr="00E72324">
        <w:t xml:space="preserve"> </w:t>
      </w:r>
    </w:p>
    <w:p w14:paraId="264F03DD" w14:textId="77777777" w:rsidR="00B7168C" w:rsidRDefault="00B7168C" w:rsidP="00E72324"/>
    <w:p w14:paraId="162D4A5F" w14:textId="77777777" w:rsidR="00FD50AA" w:rsidRDefault="0062595A">
      <w:pPr>
        <w:pStyle w:val="TOC1"/>
        <w:rPr>
          <w:rFonts w:asciiTheme="minorHAnsi" w:eastAsiaTheme="minorEastAsia" w:hAnsiTheme="minorHAnsi" w:cstheme="minorBidi"/>
          <w:b w:val="0"/>
          <w:bCs w:val="0"/>
          <w:noProof/>
          <w:sz w:val="24"/>
          <w:szCs w:val="24"/>
          <w:lang w:eastAsia="ko-KR"/>
        </w:rPr>
      </w:pPr>
      <w:r>
        <w:rPr>
          <w:b w:val="0"/>
          <w:bCs w:val="0"/>
        </w:rPr>
        <w:fldChar w:fldCharType="begin"/>
      </w:r>
      <w:r>
        <w:rPr>
          <w:b w:val="0"/>
          <w:bCs w:val="0"/>
        </w:rPr>
        <w:instrText xml:space="preserve"> TOC \n \t "Proposal,1" </w:instrText>
      </w:r>
      <w:r>
        <w:rPr>
          <w:b w:val="0"/>
          <w:bCs w:val="0"/>
        </w:rPr>
        <w:fldChar w:fldCharType="separate"/>
      </w:r>
      <w:r w:rsidR="00FD50AA">
        <w:rPr>
          <w:noProof/>
        </w:rPr>
        <w:t>Proposal 1a:</w:t>
      </w:r>
      <w:r w:rsidR="00FD50AA">
        <w:rPr>
          <w:rFonts w:asciiTheme="minorHAnsi" w:eastAsiaTheme="minorEastAsia" w:hAnsiTheme="minorHAnsi" w:cstheme="minorBidi"/>
          <w:b w:val="0"/>
          <w:bCs w:val="0"/>
          <w:noProof/>
          <w:sz w:val="24"/>
          <w:szCs w:val="24"/>
          <w:lang w:eastAsia="ko-KR"/>
        </w:rPr>
        <w:tab/>
      </w:r>
      <w:r w:rsidR="00FD50AA">
        <w:rPr>
          <w:noProof/>
        </w:rPr>
        <w:t>NR-U PC3 should leverage outcome of the NR TxD technical discussion.</w:t>
      </w:r>
    </w:p>
    <w:p w14:paraId="628AD50F" w14:textId="77777777" w:rsidR="00FD50AA" w:rsidRDefault="00FD50AA">
      <w:pPr>
        <w:pStyle w:val="TOC1"/>
        <w:rPr>
          <w:rFonts w:asciiTheme="minorHAnsi" w:eastAsiaTheme="minorEastAsia" w:hAnsiTheme="minorHAnsi" w:cstheme="minorBidi"/>
          <w:b w:val="0"/>
          <w:bCs w:val="0"/>
          <w:noProof/>
          <w:sz w:val="24"/>
          <w:szCs w:val="24"/>
          <w:lang w:eastAsia="ko-KR"/>
        </w:rPr>
      </w:pPr>
      <w:r>
        <w:rPr>
          <w:noProof/>
        </w:rPr>
        <w:t>Proposal 1b:</w:t>
      </w:r>
      <w:r>
        <w:rPr>
          <w:rFonts w:asciiTheme="minorHAnsi" w:eastAsiaTheme="minorEastAsia" w:hAnsiTheme="minorHAnsi" w:cstheme="minorBidi"/>
          <w:b w:val="0"/>
          <w:bCs w:val="0"/>
          <w:noProof/>
          <w:sz w:val="24"/>
          <w:szCs w:val="24"/>
          <w:lang w:eastAsia="ko-KR"/>
        </w:rPr>
        <w:tab/>
      </w:r>
      <w:r>
        <w:rPr>
          <w:noProof/>
        </w:rPr>
        <w:t>Timeline for NR-U PC3 should be (re-)discussed when the NR TxD discussion is completed (whereupon it can be also discussed to which WI we add it).</w:t>
      </w:r>
    </w:p>
    <w:p w14:paraId="031C8349" w14:textId="77777777" w:rsidR="00FD50AA" w:rsidRDefault="00FD50AA">
      <w:pPr>
        <w:pStyle w:val="TOC1"/>
        <w:rPr>
          <w:rFonts w:asciiTheme="minorHAnsi" w:eastAsiaTheme="minorEastAsia" w:hAnsiTheme="minorHAnsi" w:cstheme="minorBidi"/>
          <w:b w:val="0"/>
          <w:bCs w:val="0"/>
          <w:noProof/>
          <w:sz w:val="24"/>
          <w:szCs w:val="24"/>
          <w:lang w:eastAsia="ko-KR"/>
        </w:rPr>
      </w:pPr>
      <w:r>
        <w:rPr>
          <w:noProof/>
        </w:rPr>
        <w:t>Proposal 2a:</w:t>
      </w:r>
      <w:r>
        <w:rPr>
          <w:rFonts w:asciiTheme="minorHAnsi" w:eastAsiaTheme="minorEastAsia" w:hAnsiTheme="minorHAnsi" w:cstheme="minorBidi"/>
          <w:b w:val="0"/>
          <w:bCs w:val="0"/>
          <w:noProof/>
          <w:sz w:val="24"/>
          <w:szCs w:val="24"/>
          <w:lang w:eastAsia="ko-KR"/>
        </w:rPr>
        <w:tab/>
      </w:r>
      <w:r>
        <w:rPr>
          <w:noProof/>
        </w:rPr>
        <w:t>Due to the sheer number of NR-U specific issues it is preferrable to handle 100MHz channel as a dedicated work package not mixing it with existing basket WIs.</w:t>
      </w:r>
    </w:p>
    <w:p w14:paraId="77E52B08" w14:textId="77777777" w:rsidR="00FD50AA" w:rsidRDefault="00FD50AA">
      <w:pPr>
        <w:pStyle w:val="TOC1"/>
        <w:rPr>
          <w:rFonts w:asciiTheme="minorHAnsi" w:eastAsiaTheme="minorEastAsia" w:hAnsiTheme="minorHAnsi" w:cstheme="minorBidi"/>
          <w:b w:val="0"/>
          <w:bCs w:val="0"/>
          <w:noProof/>
          <w:sz w:val="24"/>
          <w:szCs w:val="24"/>
          <w:lang w:eastAsia="ko-KR"/>
        </w:rPr>
      </w:pPr>
      <w:r>
        <w:rPr>
          <w:noProof/>
        </w:rPr>
        <w:t>Proposal 2b:</w:t>
      </w:r>
      <w:r>
        <w:rPr>
          <w:rFonts w:asciiTheme="minorHAnsi" w:eastAsiaTheme="minorEastAsia" w:hAnsiTheme="minorHAnsi" w:cstheme="minorBidi"/>
          <w:b w:val="0"/>
          <w:bCs w:val="0"/>
          <w:noProof/>
          <w:sz w:val="24"/>
          <w:szCs w:val="24"/>
          <w:lang w:eastAsia="ko-KR"/>
        </w:rPr>
        <w:tab/>
      </w:r>
      <w:r>
        <w:rPr>
          <w:noProof/>
        </w:rPr>
        <w:t>TSG RAN should discuss further timeline for adding the 100MHz channel.</w:t>
      </w:r>
    </w:p>
    <w:p w14:paraId="69366DFE" w14:textId="2DB0D5DC" w:rsidR="00CA1807" w:rsidRDefault="0062595A" w:rsidP="00CA1807">
      <w:r>
        <w:fldChar w:fldCharType="end"/>
      </w: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2C7BC95E" w14:textId="23125A88" w:rsidR="00080512" w:rsidRDefault="00BA0D78" w:rsidP="00BA0D78">
      <w:pPr>
        <w:pStyle w:val="EX"/>
      </w:pPr>
      <w:bookmarkStart w:id="26" w:name="_Ref57277571"/>
      <w:bookmarkEnd w:id="0"/>
      <w:r w:rsidRPr="00BA0D78">
        <w:t>RP-201964</w:t>
      </w:r>
      <w:r>
        <w:t>, "Status report for WI NR-based access to unlicensed spectrum", RAN1 (Rapporteur: Qualcomm Incorp.)</w:t>
      </w:r>
      <w:bookmarkEnd w:id="26"/>
    </w:p>
    <w:p w14:paraId="54A69410" w14:textId="0C29AF19" w:rsidR="00BA0D78" w:rsidRDefault="008D2671" w:rsidP="00BA0D78">
      <w:pPr>
        <w:pStyle w:val="EX"/>
      </w:pPr>
      <w:bookmarkStart w:id="27" w:name="_Ref57277582"/>
      <w:r w:rsidRPr="008D2671">
        <w:t>RP-202751</w:t>
      </w:r>
      <w:r w:rsidR="00BA0D78">
        <w:t>, "Status report for WI NR-based access to unlicensed spectrum", RAN1 (Rapporteur: Qualcomm Inc.)</w:t>
      </w:r>
      <w:bookmarkEnd w:id="27"/>
    </w:p>
    <w:p w14:paraId="163C5194" w14:textId="54AD677D" w:rsidR="00BA0D78" w:rsidRDefault="00BA0D78" w:rsidP="00BA0D78">
      <w:pPr>
        <w:pStyle w:val="EX"/>
      </w:pPr>
      <w:bookmarkStart w:id="28" w:name="_Ref57277701"/>
      <w:r w:rsidRPr="00BA0D78">
        <w:t>R4-2017835</w:t>
      </w:r>
      <w:r>
        <w:t>, "</w:t>
      </w:r>
      <w:r w:rsidRPr="00BA0D78">
        <w:t>WF on NR-U continuation work</w:t>
      </w:r>
      <w:r>
        <w:t>", Skyworks Inc.</w:t>
      </w:r>
      <w:bookmarkEnd w:id="28"/>
    </w:p>
    <w:p w14:paraId="1B67FAA2" w14:textId="68322F26" w:rsidR="00D0697A" w:rsidRDefault="00D0697A" w:rsidP="00BA0D78">
      <w:pPr>
        <w:pStyle w:val="EX"/>
      </w:pPr>
      <w:bookmarkStart w:id="29" w:name="_Ref57279091"/>
      <w:r w:rsidRPr="00D0697A">
        <w:t>R4-2016830</w:t>
      </w:r>
      <w:r>
        <w:t>, "</w:t>
      </w:r>
      <w:r w:rsidRPr="00D0697A">
        <w:t xml:space="preserve">WF on NR </w:t>
      </w:r>
      <w:proofErr w:type="spellStart"/>
      <w:r w:rsidRPr="00D0697A">
        <w:t>TxD</w:t>
      </w:r>
      <w:proofErr w:type="spellEnd"/>
      <w:r w:rsidRPr="00D0697A">
        <w:t xml:space="preserve"> &amp; Power Class</w:t>
      </w:r>
      <w:r>
        <w:t>", vivo</w:t>
      </w:r>
      <w:bookmarkEnd w:id="29"/>
    </w:p>
    <w:p w14:paraId="6847ADC7" w14:textId="110BC2A0" w:rsidR="00406E16" w:rsidRDefault="00406E16" w:rsidP="00BA0D78">
      <w:pPr>
        <w:pStyle w:val="EX"/>
      </w:pPr>
      <w:bookmarkStart w:id="30" w:name="_Ref57291221"/>
      <w:r w:rsidRPr="00406E16">
        <w:t>R4-2009901</w:t>
      </w:r>
      <w:r>
        <w:t>, "</w:t>
      </w:r>
      <w:r w:rsidRPr="00406E16">
        <w:t>Co-existence challenges with NR-U 100MHz channel bandwidth and other technologies</w:t>
      </w:r>
      <w:r>
        <w:t>", Charter Communications Inc.</w:t>
      </w:r>
      <w:bookmarkEnd w:id="30"/>
      <w:r w:rsidR="003E5C6E">
        <w:t xml:space="preserve">, </w:t>
      </w:r>
      <w:proofErr w:type="spellStart"/>
      <w:r w:rsidR="003E5C6E">
        <w:t>CableLabs</w:t>
      </w:r>
      <w:proofErr w:type="spellEnd"/>
    </w:p>
    <w:p w14:paraId="22990F6B" w14:textId="313D6655" w:rsidR="00406E16" w:rsidRDefault="00406E16" w:rsidP="00BA0D78">
      <w:pPr>
        <w:pStyle w:val="EX"/>
      </w:pPr>
      <w:bookmarkStart w:id="31" w:name="_Ref57291228"/>
      <w:r w:rsidRPr="00406E16">
        <w:t>R4-2010499</w:t>
      </w:r>
      <w:r>
        <w:t>, "</w:t>
      </w:r>
      <w:r w:rsidRPr="00406E16">
        <w:t>Proposals on 100MHz CBW in NR-U</w:t>
      </w:r>
      <w:r>
        <w:t xml:space="preserve">", Huawei, </w:t>
      </w:r>
      <w:proofErr w:type="spellStart"/>
      <w:r>
        <w:t>HiSilicon</w:t>
      </w:r>
      <w:bookmarkEnd w:id="31"/>
      <w:proofErr w:type="spellEnd"/>
    </w:p>
    <w:sectPr w:rsidR="00406E1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59302" w14:textId="77777777" w:rsidR="006554BE" w:rsidRDefault="006554BE">
      <w:r>
        <w:separator/>
      </w:r>
    </w:p>
  </w:endnote>
  <w:endnote w:type="continuationSeparator" w:id="0">
    <w:p w14:paraId="0052C96F" w14:textId="77777777" w:rsidR="006554BE" w:rsidRDefault="0065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87637" w14:textId="77777777" w:rsidR="006554BE" w:rsidRDefault="006554BE">
      <w:r>
        <w:separator/>
      </w:r>
    </w:p>
  </w:footnote>
  <w:footnote w:type="continuationSeparator" w:id="0">
    <w:p w14:paraId="120EB8CD" w14:textId="77777777" w:rsidR="006554BE" w:rsidRDefault="0065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AB"/>
    <w:rsid w:val="00033397"/>
    <w:rsid w:val="00040095"/>
    <w:rsid w:val="000430EF"/>
    <w:rsid w:val="00051834"/>
    <w:rsid w:val="00054A22"/>
    <w:rsid w:val="00062023"/>
    <w:rsid w:val="000655A6"/>
    <w:rsid w:val="00080512"/>
    <w:rsid w:val="000A365D"/>
    <w:rsid w:val="000A68F3"/>
    <w:rsid w:val="000C47C3"/>
    <w:rsid w:val="000C722D"/>
    <w:rsid w:val="000D58AB"/>
    <w:rsid w:val="000F09C6"/>
    <w:rsid w:val="000F41C3"/>
    <w:rsid w:val="00103C59"/>
    <w:rsid w:val="00104BC6"/>
    <w:rsid w:val="00114E2C"/>
    <w:rsid w:val="00123A81"/>
    <w:rsid w:val="00130CEE"/>
    <w:rsid w:val="00133525"/>
    <w:rsid w:val="001365B6"/>
    <w:rsid w:val="001502FE"/>
    <w:rsid w:val="001569CF"/>
    <w:rsid w:val="00184832"/>
    <w:rsid w:val="001944CA"/>
    <w:rsid w:val="001A4C42"/>
    <w:rsid w:val="001C21C3"/>
    <w:rsid w:val="001C68D4"/>
    <w:rsid w:val="001D02C2"/>
    <w:rsid w:val="001D6B87"/>
    <w:rsid w:val="001F0C1D"/>
    <w:rsid w:val="001F1132"/>
    <w:rsid w:val="001F168B"/>
    <w:rsid w:val="001F64E7"/>
    <w:rsid w:val="002132FE"/>
    <w:rsid w:val="00217FF2"/>
    <w:rsid w:val="00232866"/>
    <w:rsid w:val="002347A2"/>
    <w:rsid w:val="00247926"/>
    <w:rsid w:val="002675F0"/>
    <w:rsid w:val="00270215"/>
    <w:rsid w:val="00276EE4"/>
    <w:rsid w:val="002A571B"/>
    <w:rsid w:val="002B6339"/>
    <w:rsid w:val="002C7A44"/>
    <w:rsid w:val="002E00EE"/>
    <w:rsid w:val="002F1337"/>
    <w:rsid w:val="00304DED"/>
    <w:rsid w:val="003172DC"/>
    <w:rsid w:val="00323B3C"/>
    <w:rsid w:val="0034052F"/>
    <w:rsid w:val="0035462D"/>
    <w:rsid w:val="003765B8"/>
    <w:rsid w:val="003A0483"/>
    <w:rsid w:val="003C3971"/>
    <w:rsid w:val="003E5C6E"/>
    <w:rsid w:val="003E7753"/>
    <w:rsid w:val="00406E16"/>
    <w:rsid w:val="00417C36"/>
    <w:rsid w:val="004219DD"/>
    <w:rsid w:val="00423334"/>
    <w:rsid w:val="00427482"/>
    <w:rsid w:val="004345EC"/>
    <w:rsid w:val="00456BB2"/>
    <w:rsid w:val="004826A9"/>
    <w:rsid w:val="004925D2"/>
    <w:rsid w:val="00495DB6"/>
    <w:rsid w:val="004C1601"/>
    <w:rsid w:val="004D3578"/>
    <w:rsid w:val="004E213A"/>
    <w:rsid w:val="004E615D"/>
    <w:rsid w:val="004F0988"/>
    <w:rsid w:val="004F209A"/>
    <w:rsid w:val="004F3340"/>
    <w:rsid w:val="004F3E3D"/>
    <w:rsid w:val="0052089C"/>
    <w:rsid w:val="00532277"/>
    <w:rsid w:val="0053388B"/>
    <w:rsid w:val="00535773"/>
    <w:rsid w:val="00543E6C"/>
    <w:rsid w:val="00565087"/>
    <w:rsid w:val="00565894"/>
    <w:rsid w:val="005721DD"/>
    <w:rsid w:val="00572E14"/>
    <w:rsid w:val="005973BE"/>
    <w:rsid w:val="005A5986"/>
    <w:rsid w:val="005C6A37"/>
    <w:rsid w:val="005D2E01"/>
    <w:rsid w:val="005D7526"/>
    <w:rsid w:val="005D7553"/>
    <w:rsid w:val="005E12B4"/>
    <w:rsid w:val="005E3F83"/>
    <w:rsid w:val="005E69AE"/>
    <w:rsid w:val="00602AEA"/>
    <w:rsid w:val="00607E3C"/>
    <w:rsid w:val="0061254F"/>
    <w:rsid w:val="00614FDF"/>
    <w:rsid w:val="006161A4"/>
    <w:rsid w:val="006246A7"/>
    <w:rsid w:val="0062595A"/>
    <w:rsid w:val="0063351C"/>
    <w:rsid w:val="0063543D"/>
    <w:rsid w:val="00647114"/>
    <w:rsid w:val="006554BE"/>
    <w:rsid w:val="006659DC"/>
    <w:rsid w:val="006A128B"/>
    <w:rsid w:val="006A323F"/>
    <w:rsid w:val="006B30D0"/>
    <w:rsid w:val="006B6FD1"/>
    <w:rsid w:val="006C3D95"/>
    <w:rsid w:val="006D065F"/>
    <w:rsid w:val="006E20B4"/>
    <w:rsid w:val="006E5C86"/>
    <w:rsid w:val="006F0003"/>
    <w:rsid w:val="00713C44"/>
    <w:rsid w:val="0073352E"/>
    <w:rsid w:val="00734A5B"/>
    <w:rsid w:val="0074026F"/>
    <w:rsid w:val="007429F6"/>
    <w:rsid w:val="00744E76"/>
    <w:rsid w:val="00752198"/>
    <w:rsid w:val="00753881"/>
    <w:rsid w:val="00774DA4"/>
    <w:rsid w:val="00781F0F"/>
    <w:rsid w:val="007B600E"/>
    <w:rsid w:val="007D7D8C"/>
    <w:rsid w:val="007E22A3"/>
    <w:rsid w:val="007F0F4A"/>
    <w:rsid w:val="008028A4"/>
    <w:rsid w:val="00820B25"/>
    <w:rsid w:val="00825772"/>
    <w:rsid w:val="00830747"/>
    <w:rsid w:val="0083076A"/>
    <w:rsid w:val="00866C81"/>
    <w:rsid w:val="008732A4"/>
    <w:rsid w:val="008768CA"/>
    <w:rsid w:val="008C384C"/>
    <w:rsid w:val="008C40C4"/>
    <w:rsid w:val="008C5C8F"/>
    <w:rsid w:val="008D2671"/>
    <w:rsid w:val="008E7986"/>
    <w:rsid w:val="0090271F"/>
    <w:rsid w:val="00902E23"/>
    <w:rsid w:val="009114D7"/>
    <w:rsid w:val="0091348E"/>
    <w:rsid w:val="00914478"/>
    <w:rsid w:val="00917CCB"/>
    <w:rsid w:val="00923FD2"/>
    <w:rsid w:val="0093143E"/>
    <w:rsid w:val="009379CF"/>
    <w:rsid w:val="00942EC2"/>
    <w:rsid w:val="00982028"/>
    <w:rsid w:val="009F27D2"/>
    <w:rsid w:val="009F37B7"/>
    <w:rsid w:val="009F5E43"/>
    <w:rsid w:val="00A10F02"/>
    <w:rsid w:val="00A164B4"/>
    <w:rsid w:val="00A20FAE"/>
    <w:rsid w:val="00A26956"/>
    <w:rsid w:val="00A53724"/>
    <w:rsid w:val="00A73129"/>
    <w:rsid w:val="00A75D98"/>
    <w:rsid w:val="00A808D7"/>
    <w:rsid w:val="00A82346"/>
    <w:rsid w:val="00A82C37"/>
    <w:rsid w:val="00A92BA1"/>
    <w:rsid w:val="00AC6BC6"/>
    <w:rsid w:val="00AD6703"/>
    <w:rsid w:val="00AE2FED"/>
    <w:rsid w:val="00AE3797"/>
    <w:rsid w:val="00B12BC9"/>
    <w:rsid w:val="00B15449"/>
    <w:rsid w:val="00B23D2C"/>
    <w:rsid w:val="00B57987"/>
    <w:rsid w:val="00B7168C"/>
    <w:rsid w:val="00B86C8B"/>
    <w:rsid w:val="00B93086"/>
    <w:rsid w:val="00BA0D78"/>
    <w:rsid w:val="00BA19ED"/>
    <w:rsid w:val="00BA300B"/>
    <w:rsid w:val="00BA4B8D"/>
    <w:rsid w:val="00BB5417"/>
    <w:rsid w:val="00BC0F7D"/>
    <w:rsid w:val="00BC3F29"/>
    <w:rsid w:val="00BC4C05"/>
    <w:rsid w:val="00BC5BA9"/>
    <w:rsid w:val="00BE3255"/>
    <w:rsid w:val="00BE7A35"/>
    <w:rsid w:val="00BF128E"/>
    <w:rsid w:val="00C006F9"/>
    <w:rsid w:val="00C06639"/>
    <w:rsid w:val="00C1496A"/>
    <w:rsid w:val="00C178E2"/>
    <w:rsid w:val="00C24AD0"/>
    <w:rsid w:val="00C33079"/>
    <w:rsid w:val="00C43103"/>
    <w:rsid w:val="00C45231"/>
    <w:rsid w:val="00C72833"/>
    <w:rsid w:val="00C80F1D"/>
    <w:rsid w:val="00C862C4"/>
    <w:rsid w:val="00C93F40"/>
    <w:rsid w:val="00CA1807"/>
    <w:rsid w:val="00CA3D0C"/>
    <w:rsid w:val="00CE3165"/>
    <w:rsid w:val="00CE5A62"/>
    <w:rsid w:val="00CF20E3"/>
    <w:rsid w:val="00D03677"/>
    <w:rsid w:val="00D0697A"/>
    <w:rsid w:val="00D309CC"/>
    <w:rsid w:val="00D46431"/>
    <w:rsid w:val="00D56A52"/>
    <w:rsid w:val="00D57972"/>
    <w:rsid w:val="00D675A9"/>
    <w:rsid w:val="00D738D6"/>
    <w:rsid w:val="00D755EB"/>
    <w:rsid w:val="00D87E00"/>
    <w:rsid w:val="00D9134D"/>
    <w:rsid w:val="00DA7A03"/>
    <w:rsid w:val="00DB1818"/>
    <w:rsid w:val="00DB2735"/>
    <w:rsid w:val="00DC309B"/>
    <w:rsid w:val="00DC4DA2"/>
    <w:rsid w:val="00DD495F"/>
    <w:rsid w:val="00DD4C17"/>
    <w:rsid w:val="00DF2B1F"/>
    <w:rsid w:val="00DF6189"/>
    <w:rsid w:val="00DF62CD"/>
    <w:rsid w:val="00E16509"/>
    <w:rsid w:val="00E44582"/>
    <w:rsid w:val="00E52814"/>
    <w:rsid w:val="00E72324"/>
    <w:rsid w:val="00E72ABE"/>
    <w:rsid w:val="00E77645"/>
    <w:rsid w:val="00EC4A25"/>
    <w:rsid w:val="00EE5AA7"/>
    <w:rsid w:val="00EF7DE2"/>
    <w:rsid w:val="00F025A2"/>
    <w:rsid w:val="00F04712"/>
    <w:rsid w:val="00F175FB"/>
    <w:rsid w:val="00F21311"/>
    <w:rsid w:val="00F22EC7"/>
    <w:rsid w:val="00F325C8"/>
    <w:rsid w:val="00F62AEB"/>
    <w:rsid w:val="00F653B8"/>
    <w:rsid w:val="00F70647"/>
    <w:rsid w:val="00F94D06"/>
    <w:rsid w:val="00FA1266"/>
    <w:rsid w:val="00FC1192"/>
    <w:rsid w:val="00FD50A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LCar">
    <w:name w:val="TAL Car"/>
    <w:basedOn w:val="DefaultParagraphFont"/>
    <w:link w:val="TAL"/>
    <w:qFormat/>
    <w:locked/>
    <w:rsid w:val="004F20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00A3C-9505-C540-B1DC-A5ABE6D1C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117</TotalTime>
  <Pages>2</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28</cp:revision>
  <cp:lastPrinted>2019-02-25T14:05:00Z</cp:lastPrinted>
  <dcterms:created xsi:type="dcterms:W3CDTF">2020-11-26T08:38:00Z</dcterms:created>
  <dcterms:modified xsi:type="dcterms:W3CDTF">2020-11-30T20:34:00Z</dcterms:modified>
  <cp:category/>
</cp:coreProperties>
</file>